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71" w:rsidRPr="00DA176E" w:rsidRDefault="003B2B71" w:rsidP="00DA1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76E">
        <w:rPr>
          <w:rFonts w:ascii="Times New Roman" w:hAnsi="Times New Roman" w:cs="Times New Roman"/>
          <w:b/>
          <w:sz w:val="24"/>
          <w:szCs w:val="24"/>
        </w:rPr>
        <w:t>Стилистка русского языка</w:t>
      </w:r>
    </w:p>
    <w:p w:rsidR="003B2B71" w:rsidRPr="00E31AE7" w:rsidRDefault="003B2B71" w:rsidP="00DA17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14.05.2020</w:t>
      </w:r>
    </w:p>
    <w:p w:rsidR="003B2B71" w:rsidRDefault="003B2B71" w:rsidP="003B2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E7">
        <w:rPr>
          <w:rFonts w:ascii="Times New Roman" w:hAnsi="Times New Roman" w:cs="Times New Roman"/>
          <w:bCs/>
          <w:sz w:val="24"/>
          <w:szCs w:val="24"/>
        </w:rPr>
        <w:t>Тема: «</w:t>
      </w:r>
      <w:r w:rsidR="00485D68">
        <w:rPr>
          <w:rFonts w:ascii="Times New Roman" w:hAnsi="Times New Roman" w:cs="Times New Roman"/>
          <w:bCs/>
          <w:sz w:val="24"/>
          <w:szCs w:val="24"/>
        </w:rPr>
        <w:t xml:space="preserve"> Редактирование текста. </w:t>
      </w:r>
      <w:r>
        <w:rPr>
          <w:rFonts w:ascii="Times New Roman" w:hAnsi="Times New Roman" w:cs="Times New Roman"/>
          <w:bCs/>
          <w:sz w:val="24"/>
          <w:szCs w:val="24"/>
        </w:rPr>
        <w:t>Речевые ошибки»</w:t>
      </w:r>
    </w:p>
    <w:p w:rsidR="003B2B71" w:rsidRPr="00DA176E" w:rsidRDefault="003B2B71" w:rsidP="003B2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76E">
        <w:rPr>
          <w:rFonts w:ascii="Times New Roman" w:hAnsi="Times New Roman" w:cs="Times New Roman"/>
          <w:bCs/>
          <w:sz w:val="24"/>
          <w:szCs w:val="24"/>
        </w:rPr>
        <w:t xml:space="preserve">1. Теоретическая  часть: </w:t>
      </w:r>
    </w:p>
    <w:p w:rsidR="00485D68" w:rsidRPr="00A44C61" w:rsidRDefault="00485D68" w:rsidP="003B2B7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4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Понятие «редактирование» происходит от латинского слова </w:t>
      </w:r>
      <w:proofErr w:type="spellStart"/>
      <w:r w:rsidRPr="00A44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redactus</w:t>
      </w:r>
      <w:proofErr w:type="spellEnd"/>
      <w:r w:rsidRPr="00A44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приведённый в порядок. Редактирование всегда направлено на то, чтобы сделать текст наиболее адекватными для восприятия, обеспечить его соответствие определённым нормам, а также на то, чтобы текст стал целостной законченной системой.</w:t>
      </w:r>
    </w:p>
    <w:p w:rsidR="00485D68" w:rsidRPr="00454566" w:rsidRDefault="00485D68" w:rsidP="003B2B7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44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Редактирование - это прежде всего устранение различных ошибок и недочётов. </w:t>
      </w:r>
    </w:p>
    <w:p w:rsidR="00523882" w:rsidRPr="00454566" w:rsidRDefault="003B2B71">
      <w:pPr>
        <w:rPr>
          <w:rFonts w:ascii="Times New Roman" w:hAnsi="Times New Roman" w:cs="Times New Roman"/>
          <w:sz w:val="24"/>
          <w:szCs w:val="24"/>
        </w:rPr>
      </w:pPr>
      <w:r w:rsidRPr="00454566">
        <w:rPr>
          <w:rFonts w:ascii="Times New Roman" w:hAnsi="Times New Roman" w:cs="Times New Roman"/>
          <w:sz w:val="24"/>
          <w:szCs w:val="24"/>
        </w:rPr>
        <w:t>Следует различать грамматические и речевые ошибки.</w:t>
      </w:r>
    </w:p>
    <w:p w:rsidR="003B2B71" w:rsidRDefault="003B2B71">
      <w:pPr>
        <w:rPr>
          <w:rFonts w:ascii="Times New Roman" w:hAnsi="Times New Roman" w:cs="Times New Roman"/>
          <w:sz w:val="24"/>
          <w:szCs w:val="24"/>
        </w:rPr>
      </w:pPr>
      <w:r w:rsidRPr="00454566">
        <w:rPr>
          <w:rFonts w:ascii="Times New Roman" w:hAnsi="Times New Roman" w:cs="Times New Roman"/>
          <w:sz w:val="24"/>
          <w:szCs w:val="24"/>
        </w:rPr>
        <w:t xml:space="preserve">Речевые ошибки – это ошибки не в построении, не в структуре, а в использовании языковой единицы, чаще всего в использовании слова; по преимуществу это нарушение лексических норм. Например: </w:t>
      </w:r>
      <w:proofErr w:type="spellStart"/>
      <w:r w:rsidRPr="00454566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454566">
        <w:rPr>
          <w:rFonts w:ascii="Times New Roman" w:hAnsi="Times New Roman" w:cs="Times New Roman"/>
          <w:sz w:val="24"/>
          <w:szCs w:val="24"/>
        </w:rPr>
        <w:t xml:space="preserve"> – один из главных героев одноимённого романа Гончарова «Обломов». Они потеряли на войне двух единственных сыновей. Само по себе слово одноимённый ошибки не содержит, оно лишь неудачно употреблено, не «вписывается» в контекст, не сочетается по смыслу со своим ближайшим окружением. К речевым ошибкам относятся также ошибки, вызванные нарушением порядка слов, необоснованные повторы слов, словосочетаний и предложений, ошибки в построении текста. Разновидностью речевых являются и стилистические ошибки: необоснованное смешение слов различной стилистической окраски, неудачное употребление экспрессивных, эмоционально окрашенных слов и выражений, немотивированное использование диалектных и просторечных слов и выражений, устаревшей лексики. Речевую ошибку можно заметить только в контексте, в этом её отличие от ошибки грамматической, для обнаружения которой контекст не нужен (см. примеры выше). Перечень наиболее распространённых в письменной речи учащихся грамматических и речевых ошибок приводится в таблице.</w:t>
      </w:r>
      <w:r w:rsidR="0045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566" w:rsidRPr="00454566" w:rsidRDefault="00454566" w:rsidP="004545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 ошибки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014"/>
        <w:gridCol w:w="4798"/>
      </w:tblGrid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Вид ошибки</w:t>
            </w:r>
          </w:p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Употребление слова в несвойственном ему значении</w:t>
            </w:r>
          </w:p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Мы были шокированы прекрасной игрой актеров. Мысль развивается на продолжении всего текста.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Неразличение</w:t>
            </w:r>
            <w:proofErr w:type="spellEnd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 xml:space="preserve"> оттенков значения, вносимых в слово приставкой и суффиксом</w:t>
            </w:r>
          </w:p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Моё отношение к этой проблеме не поменялось. Были приняты эффектные меры.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Неразличение</w:t>
            </w:r>
            <w:proofErr w:type="spellEnd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синонимичных слов</w:t>
            </w:r>
          </w:p>
        </w:tc>
        <w:tc>
          <w:tcPr>
            <w:tcW w:w="4927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В конечном предложении автор применяет градацию.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Употребление слов иной стилевой окраски</w:t>
            </w:r>
          </w:p>
        </w:tc>
        <w:tc>
          <w:tcPr>
            <w:tcW w:w="4927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Автор, обращаясь к этой проблеме, пытается направить людей немного в другую колею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 xml:space="preserve">Неуместное употребление </w:t>
            </w:r>
            <w:proofErr w:type="spellStart"/>
            <w:proofErr w:type="gramStart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окрашенных слов</w:t>
            </w:r>
          </w:p>
        </w:tc>
        <w:tc>
          <w:tcPr>
            <w:tcW w:w="4927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Астафьев то и дело прибегает к употреблению метафор и олицетворений.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Неоправданное употребление просторечных слов</w:t>
            </w: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Таким людям всегда удаётся объегорить других.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Нарушение лексической сочетаемости</w:t>
            </w: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 xml:space="preserve">Автор увеличивает впечатление. Автор использует художественные </w:t>
            </w:r>
            <w:proofErr w:type="spellStart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особеннности</w:t>
            </w:r>
            <w:proofErr w:type="spellEnd"/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Употребление лишних слов, в том числе плеоназм</w:t>
            </w: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Молодой юноша; очень прекрасный. Красоту пейзажа автор передаёт нам с помощью художественных приёмов.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Употребление рядом или близко однокоренных слов (тавтология)</w:t>
            </w: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В этом рассказе рассказывается о реальных событиях.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слова</w:t>
            </w: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Герой рассказа не задумывается над своим поступком. Герой даже не понимает всей глубины содеянного.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Бедность и однообразие синтаксических конструкций</w:t>
            </w: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Когда писатель пришел в редакцию, его принял главный редактор. Когда они поговорили, писатель отправился в гостиницу.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Неудачное употребление личных и указательных местоимений</w:t>
            </w: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Автор заставляет думать о последствиях своих поступков</w:t>
            </w:r>
          </w:p>
        </w:tc>
      </w:tr>
      <w:tr w:rsidR="003B2B71" w:rsidRPr="00454566" w:rsidTr="003B2B71">
        <w:tc>
          <w:tcPr>
            <w:tcW w:w="534" w:type="dxa"/>
          </w:tcPr>
          <w:p w:rsidR="003B2B71" w:rsidRPr="00454566" w:rsidRDefault="003B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Отсутствие связи между предложениями</w:t>
            </w:r>
          </w:p>
          <w:p w:rsidR="00454566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B2B71" w:rsidRPr="00454566" w:rsidRDefault="0045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66">
              <w:rPr>
                <w:rFonts w:ascii="Times New Roman" w:hAnsi="Times New Roman" w:cs="Times New Roman"/>
                <w:sz w:val="24"/>
                <w:szCs w:val="24"/>
              </w:rPr>
              <w:t>Далее автор углубляется в литературный материал. Такая гиперболизация свойств характера человека причисляет Гоголя к великим реалистам, что и отличает статью Залыгина от других исследователей.</w:t>
            </w:r>
          </w:p>
        </w:tc>
      </w:tr>
    </w:tbl>
    <w:p w:rsidR="003B2B71" w:rsidRDefault="003B2B71">
      <w:pPr>
        <w:rPr>
          <w:rFonts w:ascii="Times New Roman" w:hAnsi="Times New Roman" w:cs="Times New Roman"/>
          <w:sz w:val="24"/>
          <w:szCs w:val="24"/>
        </w:rPr>
      </w:pPr>
    </w:p>
    <w:p w:rsidR="00454566" w:rsidRPr="00DA176E" w:rsidRDefault="00454566" w:rsidP="00454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76E">
        <w:rPr>
          <w:rFonts w:ascii="Times New Roman" w:hAnsi="Times New Roman" w:cs="Times New Roman"/>
          <w:bCs/>
          <w:sz w:val="24"/>
          <w:szCs w:val="24"/>
        </w:rPr>
        <w:t>2. Практическая часть.</w:t>
      </w:r>
    </w:p>
    <w:p w:rsidR="00454566" w:rsidRDefault="0045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тексты сочинений на предмет речевых ошибок.</w:t>
      </w:r>
    </w:p>
    <w:p w:rsidR="00454566" w:rsidRDefault="0045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1</w:t>
      </w:r>
    </w:p>
    <w:p w:rsidR="00454566" w:rsidRPr="00454566" w:rsidRDefault="00454566" w:rsidP="00454566">
      <w:pPr>
        <w:pStyle w:val="a4"/>
        <w:shd w:val="clear" w:color="auto" w:fill="FFFFFF"/>
        <w:spacing w:after="138" w:afterAutospacing="0"/>
        <w:rPr>
          <w:rFonts w:ascii="Arial" w:hAnsi="Arial" w:cs="Arial"/>
          <w:color w:val="000000"/>
        </w:rPr>
      </w:pPr>
      <w:r w:rsidRPr="00454566">
        <w:rPr>
          <w:color w:val="000000"/>
        </w:rPr>
        <w:t>В данном произведении автор поднимает проблему сплочённости людей во время тяжёлого труда, но ради общего дела.</w:t>
      </w:r>
    </w:p>
    <w:p w:rsidR="00454566" w:rsidRPr="00454566" w:rsidRDefault="00454566" w:rsidP="00454566">
      <w:pPr>
        <w:pStyle w:val="a4"/>
        <w:shd w:val="clear" w:color="auto" w:fill="FFFFFF"/>
        <w:spacing w:after="138" w:afterAutospacing="0"/>
        <w:rPr>
          <w:rFonts w:ascii="Arial" w:hAnsi="Arial" w:cs="Arial"/>
          <w:color w:val="000000"/>
        </w:rPr>
      </w:pPr>
      <w:r w:rsidRPr="00454566">
        <w:rPr>
          <w:color w:val="000000"/>
        </w:rPr>
        <w:t>         Сначала автор описывает тяжёлый труд, которым он сам занимался во время войны. Драгунский описывает как он с товарищами копал противотанковые рвы. Как тяжело было поднимать влажную глинистую почву. Описывает какой это был тяжёлый и монотонный труд. Этим описанием автор хочет показать в каких тяжёлый условиях работали люди в то время.</w:t>
      </w:r>
    </w:p>
    <w:p w:rsidR="00454566" w:rsidRPr="00454566" w:rsidRDefault="00454566" w:rsidP="00454566">
      <w:pPr>
        <w:pStyle w:val="a4"/>
        <w:shd w:val="clear" w:color="auto" w:fill="FFFFFF"/>
        <w:spacing w:after="138" w:afterAutospacing="0"/>
        <w:rPr>
          <w:rFonts w:ascii="Arial" w:hAnsi="Arial" w:cs="Arial"/>
          <w:color w:val="000000"/>
        </w:rPr>
      </w:pPr>
      <w:r w:rsidRPr="00454566">
        <w:rPr>
          <w:color w:val="000000"/>
        </w:rPr>
        <w:t>         В противовес этому автор рассказывает о связи, которая возникает между людьми, которые работают ради общей цели. Он рассказывает, как безымянная на первый взгляд масса людей рассыпалась на множество личностей неповторимых и близких его сердцу. Этим автор хочет показать, что несмотря на огромную нагрузку, тяжёлый труд ради общей цели делает людей одной большой семьёй.</w:t>
      </w:r>
    </w:p>
    <w:p w:rsidR="00454566" w:rsidRDefault="00454566" w:rsidP="00454566">
      <w:pPr>
        <w:pStyle w:val="a4"/>
        <w:shd w:val="clear" w:color="auto" w:fill="FFFFFF"/>
        <w:spacing w:after="138" w:afterAutospacing="0"/>
        <w:rPr>
          <w:color w:val="000000"/>
        </w:rPr>
      </w:pPr>
      <w:r w:rsidRPr="00454566">
        <w:rPr>
          <w:color w:val="000000"/>
        </w:rPr>
        <w:t xml:space="preserve">         Автор выражает свою позицию в тексте. По мнению автора, труд ради общей цели всегда объединяет людей, несмотря на свою непосильную тяжесть. Я согласен с мнением автора. Я считаю труд непосильный для одного человека, всегда можно выполнить работая сообща. Работая вместе люди создают особую связь, которая помогает им </w:t>
      </w:r>
      <w:r w:rsidRPr="00454566">
        <w:rPr>
          <w:color w:val="000000"/>
        </w:rPr>
        <w:lastRenderedPageBreak/>
        <w:t>разделять чувства во время тяжёлого труда. Примеры такой связи можно найти в народном творчестве. Сельскохозяйственные работы всегда выполнялись коллективно и сопровождались хоровым пением. Это помогало людям выполнять монотонный труд и создавало ощущения родства между людьми.</w:t>
      </w:r>
    </w:p>
    <w:p w:rsidR="00454566" w:rsidRDefault="00454566" w:rsidP="00454566">
      <w:pPr>
        <w:pStyle w:val="a4"/>
        <w:shd w:val="clear" w:color="auto" w:fill="FFFFFF"/>
        <w:spacing w:after="138" w:afterAutospacing="0"/>
        <w:rPr>
          <w:color w:val="000000"/>
        </w:rPr>
      </w:pPr>
      <w:r>
        <w:rPr>
          <w:color w:val="000000"/>
        </w:rPr>
        <w:t>Текст 2.</w:t>
      </w:r>
    </w:p>
    <w:p w:rsidR="00485D68" w:rsidRP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объединяет людей во время войны? Именно над этой проблемой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размышляет Драгунский.</w:t>
      </w:r>
    </w:p>
    <w:p w:rsid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D68" w:rsidRP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Раскрывая проблему, автор обращается к истории Великой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Войны. Рассказчик отмечает, что в его отряде 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«казах </w:t>
      </w:r>
      <w:proofErr w:type="spellStart"/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Байсеитов</w:t>
      </w:r>
      <w:proofErr w:type="spellEnd"/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», азиаты, евреи. Это говорит о том, что его отряд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многонациональный, то есть война способна объединять людей разной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культуры. Помимо национальной особенности, рассказчик отмечает, что его</w:t>
      </w:r>
    </w:p>
    <w:p w:rsid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окружают люди различных профессий, например, оператор кино, печатник,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аптекарь, пожарный. </w:t>
      </w:r>
    </w:p>
    <w:p w:rsidR="00485D68" w:rsidRP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два дополняющих друг друга аргумента позволяют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разбить безликую массу трудящихся на мелкие самобытные частички,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построены на свой манер каждая. Но казалось бы, что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сплотить столь разных людей? Ответ прост: Беда, нависшая над страной,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сплотила всех. Описание их совместной работы в окопах, помогает</w:t>
      </w:r>
    </w:p>
    <w:p w:rsidR="00485D68" w:rsidRP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Драгунскому доказать, что общая трагедия сглаживает все различия.</w:t>
      </w:r>
    </w:p>
    <w:p w:rsid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D68" w:rsidRP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аргументы подводят нас к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позиции. Драгунский считает,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общая цель, любовь к Родине заставляют совершенно разных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одним целым в условиях войны.</w:t>
      </w:r>
    </w:p>
    <w:p w:rsid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D68" w:rsidRP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Я согласна с позицией автора. Многие авторы берут за основу 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Отечественную Войну. Например, повесть Быкова «Обелиск».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оккупации, люди готовы объединятся, чтобы выжить. В повести,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 отряд объединяются сельский учитель, партизанский комиссар, та</w:t>
      </w:r>
      <w:bookmarkStart w:id="0" w:name="_GoBack"/>
      <w:bookmarkEnd w:id="0"/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кже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их отряде были девочки, которые бегали из Сельца и передавали все новости.</w:t>
      </w:r>
    </w:p>
    <w:p w:rsidR="00485D68" w:rsidRPr="00485D68" w:rsidRDefault="00485D68" w:rsidP="0048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война</w:t>
      </w:r>
      <w:r w:rsidR="00A44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- нелегкое время, когда люди способны объединяться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D6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единое, помогать друг другу ради общей цели.</w:t>
      </w:r>
    </w:p>
    <w:p w:rsidR="00485D68" w:rsidRPr="00454566" w:rsidRDefault="00485D68" w:rsidP="00454566">
      <w:pPr>
        <w:pStyle w:val="a4"/>
        <w:shd w:val="clear" w:color="auto" w:fill="FFFFFF"/>
        <w:spacing w:after="138" w:afterAutospacing="0"/>
        <w:rPr>
          <w:rFonts w:ascii="Arial" w:hAnsi="Arial" w:cs="Arial"/>
          <w:color w:val="000000"/>
        </w:rPr>
      </w:pPr>
    </w:p>
    <w:p w:rsidR="00454566" w:rsidRPr="00454566" w:rsidRDefault="00454566">
      <w:pPr>
        <w:rPr>
          <w:rFonts w:ascii="Times New Roman" w:hAnsi="Times New Roman" w:cs="Times New Roman"/>
          <w:sz w:val="24"/>
          <w:szCs w:val="24"/>
        </w:rPr>
      </w:pPr>
    </w:p>
    <w:sectPr w:rsidR="00454566" w:rsidRPr="0045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71"/>
    <w:rsid w:val="003B2B71"/>
    <w:rsid w:val="00454566"/>
    <w:rsid w:val="00485D68"/>
    <w:rsid w:val="00523882"/>
    <w:rsid w:val="005755E6"/>
    <w:rsid w:val="00A44C61"/>
    <w:rsid w:val="00D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7157E-2297-4C17-8739-F38903A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Пользователь Windows</cp:lastModifiedBy>
  <cp:revision>3</cp:revision>
  <dcterms:created xsi:type="dcterms:W3CDTF">2020-05-10T14:30:00Z</dcterms:created>
  <dcterms:modified xsi:type="dcterms:W3CDTF">2020-05-10T14:33:00Z</dcterms:modified>
</cp:coreProperties>
</file>